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A18E" w14:textId="2578F692" w:rsidR="00191357" w:rsidRDefault="00F134E4" w:rsidP="004B77FE">
      <w:pPr>
        <w:spacing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             Be It Remembered that the Greene County</w:t>
      </w:r>
    </w:p>
    <w:p w14:paraId="7D49434F" w14:textId="44C71B8E" w:rsidR="00F134E4" w:rsidRDefault="00F134E4" w:rsidP="004B77FE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      Board of Commissioners met in Regular</w:t>
      </w:r>
    </w:p>
    <w:p w14:paraId="07B4955E" w14:textId="7875F34D" w:rsidR="00F134E4" w:rsidRDefault="00F134E4" w:rsidP="004B77FE">
      <w:pPr>
        <w:spacing w:line="240" w:lineRule="auto"/>
        <w:ind w:left="2880" w:firstLine="72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Session on Tuesday, December 19, 2023, at</w:t>
      </w:r>
    </w:p>
    <w:p w14:paraId="2C3D708A" w14:textId="6B005A78" w:rsidR="00F134E4" w:rsidRDefault="00F134E4" w:rsidP="004B77FE">
      <w:pPr>
        <w:spacing w:line="240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9:30 a.m. in the Commissioners’ Room on the</w:t>
      </w:r>
    </w:p>
    <w:p w14:paraId="7776F957" w14:textId="2C980CAB" w:rsidR="00F134E4" w:rsidRDefault="00F134E4" w:rsidP="004B77FE">
      <w:pPr>
        <w:spacing w:line="240" w:lineRule="auto"/>
        <w:ind w:left="43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Third floor of the Courthouse.</w:t>
      </w:r>
    </w:p>
    <w:p w14:paraId="2300D605" w14:textId="362248D6" w:rsidR="00F134E4" w:rsidRDefault="00F134E4" w:rsidP="00F134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The meeting was called to order by Nathan Abrams.</w:t>
      </w:r>
    </w:p>
    <w:p w14:paraId="317F37B0" w14:textId="5D4DB573" w:rsidR="00F134E4" w:rsidRDefault="00F134E4" w:rsidP="00F134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The Pledge of Allegiance opened the meeting.</w:t>
      </w:r>
    </w:p>
    <w:p w14:paraId="1C7487CA" w14:textId="57692FD1" w:rsidR="00F134E4" w:rsidRDefault="00F134E4" w:rsidP="00F134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Those present were Nathan Abrams, Ed Michael, Rick Graves, and County Attorney, Marvin Abshire.</w:t>
      </w:r>
    </w:p>
    <w:p w14:paraId="3BDDB1E2" w14:textId="758E4E7E" w:rsidR="00F134E4" w:rsidRDefault="00F134E4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Minutes</w:t>
      </w:r>
    </w:p>
    <w:p w14:paraId="41EB2DDF" w14:textId="1F7B0979" w:rsidR="00F134E4" w:rsidRDefault="00F134E4" w:rsidP="00F134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Ed Michael moved, and Rick Graves seconded, to approve the minutes of the regular meeting held on December 5, 2023.  Motion passed 3-0.</w:t>
      </w:r>
    </w:p>
    <w:p w14:paraId="7FE0183F" w14:textId="496DC6C2" w:rsidR="00F134E4" w:rsidRDefault="00F134E4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Claims</w:t>
      </w:r>
    </w:p>
    <w:p w14:paraId="1D69D63B" w14:textId="30E5F2F6" w:rsidR="00F134E4" w:rsidRDefault="00F134E4" w:rsidP="00F134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Ed Michael moved, and Rick Graves seconded, to approve the accounts payable claims su</w:t>
      </w:r>
      <w:r w:rsidR="00A80D79">
        <w:rPr>
          <w:noProof/>
          <w:sz w:val="24"/>
          <w:szCs w:val="24"/>
        </w:rPr>
        <w:t>b</w:t>
      </w:r>
      <w:r>
        <w:rPr>
          <w:noProof/>
          <w:sz w:val="24"/>
          <w:szCs w:val="24"/>
        </w:rPr>
        <w:t>mitted for payment on December 19, 2023.  Motion passed 3-0.</w:t>
      </w:r>
    </w:p>
    <w:p w14:paraId="1B1BF909" w14:textId="26D53A5C" w:rsidR="00F134E4" w:rsidRDefault="00F134E4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Payroll</w:t>
      </w:r>
    </w:p>
    <w:p w14:paraId="13C5E476" w14:textId="59491FF2" w:rsidR="00F134E4" w:rsidRDefault="0090048D" w:rsidP="00F134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Ed Michael moved, and Rick Graves seconded, to approve the payroll sub</w:t>
      </w:r>
      <w:r w:rsidR="002B7895">
        <w:rPr>
          <w:noProof/>
          <w:sz w:val="24"/>
          <w:szCs w:val="24"/>
        </w:rPr>
        <w:t>m</w:t>
      </w:r>
      <w:r>
        <w:rPr>
          <w:noProof/>
          <w:sz w:val="24"/>
          <w:szCs w:val="24"/>
        </w:rPr>
        <w:t>itted for Friday, December 29, 2023.  Motion passed 3-0.</w:t>
      </w:r>
    </w:p>
    <w:p w14:paraId="46DBE143" w14:textId="795C4069" w:rsidR="0090048D" w:rsidRDefault="0090048D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Amendment of Minutes from November 8</w:t>
      </w:r>
      <w:r w:rsidR="00A80D79">
        <w:rPr>
          <w:b/>
          <w:bCs/>
          <w:noProof/>
          <w:sz w:val="24"/>
          <w:szCs w:val="24"/>
          <w:u w:val="single"/>
        </w:rPr>
        <w:t>, 2023</w:t>
      </w:r>
      <w:r>
        <w:rPr>
          <w:b/>
          <w:bCs/>
          <w:noProof/>
          <w:sz w:val="24"/>
          <w:szCs w:val="24"/>
          <w:u w:val="single"/>
        </w:rPr>
        <w:t xml:space="preserve"> Meeting</w:t>
      </w:r>
    </w:p>
    <w:p w14:paraId="4660B3F8" w14:textId="631FF407" w:rsidR="0090048D" w:rsidRDefault="0090048D" w:rsidP="0079378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Ed Michael moved, and Rick Graves seconded, to approve the amendment of the minutes from the November 8</w:t>
      </w:r>
      <w:r w:rsidR="00734EDB">
        <w:rPr>
          <w:noProof/>
          <w:sz w:val="24"/>
          <w:szCs w:val="24"/>
        </w:rPr>
        <w:t>, 2023</w:t>
      </w:r>
      <w:r w:rsidR="0076099C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Commissioners</w:t>
      </w:r>
      <w:r w:rsidR="00734EDB">
        <w:rPr>
          <w:noProof/>
          <w:sz w:val="24"/>
          <w:szCs w:val="24"/>
        </w:rPr>
        <w:t>’</w:t>
      </w:r>
      <w:r>
        <w:rPr>
          <w:noProof/>
          <w:sz w:val="24"/>
          <w:szCs w:val="24"/>
        </w:rPr>
        <w:t xml:space="preserve"> Meeting</w:t>
      </w:r>
      <w:r w:rsidR="00734EDB">
        <w:rPr>
          <w:noProof/>
          <w:sz w:val="24"/>
          <w:szCs w:val="24"/>
        </w:rPr>
        <w:t xml:space="preserve"> due to the omission of approval of the JKI Engineering, Inc. Engineering Services Agreement</w:t>
      </w:r>
      <w:r w:rsidR="00551AA8">
        <w:rPr>
          <w:noProof/>
          <w:sz w:val="24"/>
          <w:szCs w:val="24"/>
        </w:rPr>
        <w:t>,</w:t>
      </w:r>
      <w:r w:rsidR="000F4ECF">
        <w:rPr>
          <w:noProof/>
          <w:sz w:val="24"/>
          <w:szCs w:val="24"/>
        </w:rPr>
        <w:t xml:space="preserve"> for </w:t>
      </w:r>
      <w:r w:rsidR="001A2037">
        <w:rPr>
          <w:noProof/>
          <w:sz w:val="24"/>
          <w:szCs w:val="24"/>
        </w:rPr>
        <w:t>engineering services related to an on-site inspection of the first level limestone cladding on the Courthouse</w:t>
      </w:r>
      <w:r>
        <w:rPr>
          <w:noProof/>
          <w:sz w:val="24"/>
          <w:szCs w:val="24"/>
        </w:rPr>
        <w:t>.  Motion passed 3-0.</w:t>
      </w:r>
    </w:p>
    <w:p w14:paraId="49C91433" w14:textId="2A37E264" w:rsidR="0090048D" w:rsidRDefault="0090048D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Treasurer’s Office (Toshiba Lease)</w:t>
      </w:r>
    </w:p>
    <w:p w14:paraId="17F13E5C" w14:textId="5873CCBB" w:rsidR="0090048D" w:rsidRDefault="0090048D" w:rsidP="00F134E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Samantha Mahan, Greene County Treasurer </w:t>
      </w:r>
      <w:r w:rsidR="00551AA8">
        <w:rPr>
          <w:noProof/>
          <w:sz w:val="24"/>
          <w:szCs w:val="24"/>
        </w:rPr>
        <w:t>presented a proposed</w:t>
      </w:r>
      <w:r>
        <w:rPr>
          <w:noProof/>
          <w:sz w:val="24"/>
          <w:szCs w:val="24"/>
        </w:rPr>
        <w:t xml:space="preserve"> new printer/copier lease with Toshiba, which will result in a $634 yearly savings.  County Attorney Marvin Abshire has reviewed the lease agreement.  Rick Graves moved,</w:t>
      </w:r>
      <w:r w:rsidR="001A2037">
        <w:rPr>
          <w:noProof/>
          <w:sz w:val="24"/>
          <w:szCs w:val="24"/>
        </w:rPr>
        <w:t xml:space="preserve"> and </w:t>
      </w:r>
      <w:r>
        <w:rPr>
          <w:noProof/>
          <w:sz w:val="24"/>
          <w:szCs w:val="24"/>
        </w:rPr>
        <w:t>Ed Michael seconded, to approve the Toshiba printer/copier lease for the Treasurer’s Office.  Motion passed 3-0.</w:t>
      </w:r>
    </w:p>
    <w:p w14:paraId="7A347DF7" w14:textId="536FCD64" w:rsidR="0090048D" w:rsidRDefault="0090048D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IT – Toshiba Business Servi</w:t>
      </w:r>
      <w:r w:rsidR="00FA22E8">
        <w:rPr>
          <w:b/>
          <w:bCs/>
          <w:noProof/>
          <w:sz w:val="24"/>
          <w:szCs w:val="24"/>
          <w:u w:val="single"/>
        </w:rPr>
        <w:t>c</w:t>
      </w:r>
      <w:r>
        <w:rPr>
          <w:b/>
          <w:bCs/>
          <w:noProof/>
          <w:sz w:val="24"/>
          <w:szCs w:val="24"/>
          <w:u w:val="single"/>
        </w:rPr>
        <w:t>es printer maintenance agreement</w:t>
      </w:r>
    </w:p>
    <w:p w14:paraId="58CA8A01" w14:textId="1566BA5C" w:rsidR="0090048D" w:rsidRDefault="0090048D" w:rsidP="0079378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Commissioner Ed Michael</w:t>
      </w:r>
      <w:r w:rsidR="00551AA8">
        <w:rPr>
          <w:noProof/>
          <w:sz w:val="24"/>
          <w:szCs w:val="24"/>
        </w:rPr>
        <w:t xml:space="preserve"> discussed a proposal to cover </w:t>
      </w:r>
      <w:r>
        <w:rPr>
          <w:noProof/>
          <w:sz w:val="24"/>
          <w:szCs w:val="24"/>
        </w:rPr>
        <w:t xml:space="preserve">all printers/copiers for the annex, jail, and highway departments </w:t>
      </w:r>
      <w:r w:rsidR="00551AA8">
        <w:rPr>
          <w:noProof/>
          <w:sz w:val="24"/>
          <w:szCs w:val="24"/>
        </w:rPr>
        <w:t>under</w:t>
      </w:r>
      <w:r>
        <w:rPr>
          <w:noProof/>
          <w:sz w:val="24"/>
          <w:szCs w:val="24"/>
        </w:rPr>
        <w:t xml:space="preserve"> a </w:t>
      </w:r>
      <w:r w:rsidR="00FA22E8">
        <w:rPr>
          <w:noProof/>
          <w:sz w:val="24"/>
          <w:szCs w:val="24"/>
        </w:rPr>
        <w:t xml:space="preserve">maintenance </w:t>
      </w:r>
      <w:r>
        <w:rPr>
          <w:noProof/>
          <w:sz w:val="24"/>
          <w:szCs w:val="24"/>
        </w:rPr>
        <w:t>agreement with Toshiba.  This will result in a 30-</w:t>
      </w:r>
      <w:r>
        <w:rPr>
          <w:noProof/>
          <w:sz w:val="24"/>
          <w:szCs w:val="24"/>
        </w:rPr>
        <w:lastRenderedPageBreak/>
        <w:t>40% savings</w:t>
      </w:r>
      <w:r w:rsidR="00551AA8">
        <w:rPr>
          <w:noProof/>
          <w:sz w:val="24"/>
          <w:szCs w:val="24"/>
        </w:rPr>
        <w:t xml:space="preserve"> over current costs</w:t>
      </w:r>
      <w:r>
        <w:rPr>
          <w:noProof/>
          <w:sz w:val="24"/>
          <w:szCs w:val="24"/>
        </w:rPr>
        <w:t>.  Ed Michael moved,</w:t>
      </w:r>
      <w:r w:rsidR="00FA22E8">
        <w:rPr>
          <w:noProof/>
          <w:sz w:val="24"/>
          <w:szCs w:val="24"/>
        </w:rPr>
        <w:t xml:space="preserve"> and</w:t>
      </w:r>
      <w:r>
        <w:rPr>
          <w:noProof/>
          <w:sz w:val="24"/>
          <w:szCs w:val="24"/>
        </w:rPr>
        <w:t xml:space="preserve"> Rick Graves seconded, to approve the Toshiba Business Services </w:t>
      </w:r>
      <w:r w:rsidR="005B5A0E">
        <w:rPr>
          <w:noProof/>
          <w:sz w:val="24"/>
          <w:szCs w:val="24"/>
        </w:rPr>
        <w:t>printer maintenance agreement.  Motion passed 3-0.</w:t>
      </w:r>
    </w:p>
    <w:p w14:paraId="09DEB183" w14:textId="7F4C7ED6" w:rsidR="005B5A0E" w:rsidRDefault="005B5A0E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Community Corrections (Lynn Wininger)</w:t>
      </w:r>
    </w:p>
    <w:p w14:paraId="18C97510" w14:textId="62B95B2A" w:rsidR="005B5A0E" w:rsidRDefault="005B5A0E" w:rsidP="0079378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Commissioner Ed Michael sp</w:t>
      </w:r>
      <w:r w:rsidR="006E7FAD">
        <w:rPr>
          <w:noProof/>
          <w:sz w:val="24"/>
          <w:szCs w:val="24"/>
        </w:rPr>
        <w:t>oke</w:t>
      </w:r>
      <w:r>
        <w:rPr>
          <w:noProof/>
          <w:sz w:val="24"/>
          <w:szCs w:val="24"/>
        </w:rPr>
        <w:t xml:space="preserve"> on behalf of Lynn Wininger for Community Corrections</w:t>
      </w:r>
      <w:r w:rsidR="006C3D69">
        <w:rPr>
          <w:noProof/>
          <w:sz w:val="24"/>
          <w:szCs w:val="24"/>
        </w:rPr>
        <w:t>.</w:t>
      </w:r>
      <w:r w:rsidR="004362D5">
        <w:rPr>
          <w:noProof/>
          <w:sz w:val="24"/>
          <w:szCs w:val="24"/>
        </w:rPr>
        <w:t xml:space="preserve"> </w:t>
      </w:r>
      <w:r w:rsidR="006C3D69">
        <w:rPr>
          <w:noProof/>
          <w:sz w:val="24"/>
          <w:szCs w:val="24"/>
        </w:rPr>
        <w:t>T</w:t>
      </w:r>
      <w:r>
        <w:rPr>
          <w:noProof/>
          <w:sz w:val="24"/>
          <w:szCs w:val="24"/>
        </w:rPr>
        <w:t xml:space="preserve">he phone system </w:t>
      </w:r>
      <w:r w:rsidR="006C3D69">
        <w:rPr>
          <w:noProof/>
          <w:sz w:val="24"/>
          <w:szCs w:val="24"/>
        </w:rPr>
        <w:t>currently</w:t>
      </w:r>
      <w:r>
        <w:rPr>
          <w:noProof/>
          <w:sz w:val="24"/>
          <w:szCs w:val="24"/>
        </w:rPr>
        <w:t xml:space="preserve"> used by Community Corrections is </w:t>
      </w:r>
      <w:r w:rsidR="00551AA8">
        <w:rPr>
          <w:noProof/>
          <w:sz w:val="24"/>
          <w:szCs w:val="24"/>
        </w:rPr>
        <w:t xml:space="preserve">more than </w:t>
      </w:r>
      <w:r>
        <w:rPr>
          <w:noProof/>
          <w:sz w:val="24"/>
          <w:szCs w:val="24"/>
        </w:rPr>
        <w:t xml:space="preserve">10 years old.  Community Corrections </w:t>
      </w:r>
      <w:r w:rsidR="00430B43">
        <w:rPr>
          <w:noProof/>
          <w:sz w:val="24"/>
          <w:szCs w:val="24"/>
        </w:rPr>
        <w:t>uses</w:t>
      </w:r>
      <w:r>
        <w:rPr>
          <w:noProof/>
          <w:sz w:val="24"/>
          <w:szCs w:val="24"/>
        </w:rPr>
        <w:t xml:space="preserve"> AT&amp;T for phone services and Comcast for Internet.  Lynn would like to upgrade the system</w:t>
      </w:r>
      <w:r w:rsidR="00551AA8">
        <w:rPr>
          <w:noProof/>
          <w:sz w:val="24"/>
          <w:szCs w:val="24"/>
        </w:rPr>
        <w:t xml:space="preserve"> to Avaya controller and desk units, through</w:t>
      </w:r>
      <w:r>
        <w:rPr>
          <w:noProof/>
          <w:sz w:val="24"/>
          <w:szCs w:val="24"/>
        </w:rPr>
        <w:t xml:space="preserve"> H</w:t>
      </w:r>
      <w:r w:rsidR="00F77D7B">
        <w:rPr>
          <w:noProof/>
          <w:sz w:val="24"/>
          <w:szCs w:val="24"/>
        </w:rPr>
        <w:t>ICOM, Inc.</w:t>
      </w:r>
      <w:r w:rsidR="00551AA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 </w:t>
      </w:r>
      <w:r w:rsidR="00551AA8">
        <w:rPr>
          <w:noProof/>
          <w:sz w:val="24"/>
          <w:szCs w:val="24"/>
        </w:rPr>
        <w:t>resulting in</w:t>
      </w:r>
      <w:r w:rsidR="00430B4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the same </w:t>
      </w:r>
      <w:r w:rsidR="00551AA8">
        <w:rPr>
          <w:noProof/>
          <w:sz w:val="24"/>
          <w:szCs w:val="24"/>
        </w:rPr>
        <w:t xml:space="preserve">type of </w:t>
      </w:r>
      <w:r>
        <w:rPr>
          <w:noProof/>
          <w:sz w:val="24"/>
          <w:szCs w:val="24"/>
        </w:rPr>
        <w:t xml:space="preserve">system </w:t>
      </w:r>
      <w:r w:rsidR="00551AA8">
        <w:rPr>
          <w:noProof/>
          <w:sz w:val="24"/>
          <w:szCs w:val="24"/>
        </w:rPr>
        <w:t>used at</w:t>
      </w:r>
      <w:r w:rsidR="00430B43">
        <w:rPr>
          <w:noProof/>
          <w:sz w:val="24"/>
          <w:szCs w:val="24"/>
        </w:rPr>
        <w:t xml:space="preserve"> the </w:t>
      </w:r>
      <w:r>
        <w:rPr>
          <w:noProof/>
          <w:sz w:val="24"/>
          <w:szCs w:val="24"/>
        </w:rPr>
        <w:t>Courthouse</w:t>
      </w:r>
      <w:r w:rsidR="00F77D7B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r w:rsidR="00F77D7B">
        <w:rPr>
          <w:noProof/>
          <w:sz w:val="24"/>
          <w:szCs w:val="24"/>
        </w:rPr>
        <w:t>The</w:t>
      </w:r>
      <w:r>
        <w:rPr>
          <w:noProof/>
          <w:sz w:val="24"/>
          <w:szCs w:val="24"/>
        </w:rPr>
        <w:t xml:space="preserve"> cost</w:t>
      </w:r>
      <w:r w:rsidR="00F77D7B">
        <w:rPr>
          <w:noProof/>
          <w:sz w:val="24"/>
          <w:szCs w:val="24"/>
        </w:rPr>
        <w:t xml:space="preserve"> will be</w:t>
      </w:r>
      <w:r>
        <w:rPr>
          <w:noProof/>
          <w:sz w:val="24"/>
          <w:szCs w:val="24"/>
        </w:rPr>
        <w:t xml:space="preserve"> $8</w:t>
      </w:r>
      <w:r w:rsidR="00F77D7B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>092.00</w:t>
      </w:r>
      <w:r w:rsidR="00551AA8">
        <w:rPr>
          <w:noProof/>
          <w:sz w:val="24"/>
          <w:szCs w:val="24"/>
        </w:rPr>
        <w:t xml:space="preserve"> plus </w:t>
      </w:r>
      <w:r>
        <w:rPr>
          <w:noProof/>
          <w:sz w:val="24"/>
          <w:szCs w:val="24"/>
        </w:rPr>
        <w:t>a $100</w:t>
      </w:r>
      <w:r w:rsidR="007E3042">
        <w:rPr>
          <w:noProof/>
          <w:sz w:val="24"/>
          <w:szCs w:val="24"/>
        </w:rPr>
        <w:t>.00</w:t>
      </w:r>
      <w:r>
        <w:rPr>
          <w:noProof/>
          <w:sz w:val="24"/>
          <w:szCs w:val="24"/>
        </w:rPr>
        <w:t xml:space="preserve"> monthly fee</w:t>
      </w:r>
      <w:r w:rsidR="00551AA8">
        <w:rPr>
          <w:noProof/>
          <w:sz w:val="24"/>
          <w:szCs w:val="24"/>
        </w:rPr>
        <w:t xml:space="preserve"> through RingBeyond, for telephone service</w:t>
      </w:r>
      <w:r w:rsidR="007E304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 Rick Graves moved</w:t>
      </w:r>
      <w:r w:rsidR="00740AEC">
        <w:rPr>
          <w:noProof/>
          <w:sz w:val="24"/>
          <w:szCs w:val="24"/>
        </w:rPr>
        <w:t xml:space="preserve">, and Ed Michael seconded, </w:t>
      </w:r>
      <w:r>
        <w:rPr>
          <w:noProof/>
          <w:sz w:val="24"/>
          <w:szCs w:val="24"/>
        </w:rPr>
        <w:t xml:space="preserve">to approve </w:t>
      </w:r>
      <w:r w:rsidR="00430B43">
        <w:rPr>
          <w:noProof/>
          <w:sz w:val="24"/>
          <w:szCs w:val="24"/>
        </w:rPr>
        <w:t xml:space="preserve">changing the phone system </w:t>
      </w:r>
      <w:r>
        <w:rPr>
          <w:noProof/>
          <w:sz w:val="24"/>
          <w:szCs w:val="24"/>
        </w:rPr>
        <w:t xml:space="preserve">and use cumulative capital development funds to pay for </w:t>
      </w:r>
      <w:r w:rsidR="00551AA8">
        <w:rPr>
          <w:noProof/>
          <w:sz w:val="24"/>
          <w:szCs w:val="24"/>
        </w:rPr>
        <w:t>the equipment and installation</w:t>
      </w:r>
      <w:r w:rsidR="00430B43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Motion </w:t>
      </w:r>
      <w:r w:rsidR="00A7554B">
        <w:rPr>
          <w:noProof/>
          <w:sz w:val="24"/>
          <w:szCs w:val="24"/>
        </w:rPr>
        <w:t>passed</w:t>
      </w:r>
      <w:r>
        <w:rPr>
          <w:noProof/>
          <w:sz w:val="24"/>
          <w:szCs w:val="24"/>
        </w:rPr>
        <w:t xml:space="preserve"> 3-0.</w:t>
      </w:r>
    </w:p>
    <w:p w14:paraId="251E30AF" w14:textId="3E28F9AD" w:rsidR="005B5A0E" w:rsidRDefault="005B5A0E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Surplus Ambulance Bid Opening</w:t>
      </w:r>
    </w:p>
    <w:p w14:paraId="0B88444F" w14:textId="6411EE97" w:rsidR="005B5A0E" w:rsidRDefault="005B5A0E" w:rsidP="0079378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One bid was received for</w:t>
      </w:r>
      <w:r w:rsidR="00FE04B2">
        <w:rPr>
          <w:noProof/>
          <w:sz w:val="24"/>
          <w:szCs w:val="24"/>
        </w:rPr>
        <w:t xml:space="preserve"> the 2016 Chevrolet 3500-diesel used by the Greene County Ambulance Service in the amount of</w:t>
      </w:r>
      <w:r>
        <w:rPr>
          <w:noProof/>
          <w:sz w:val="24"/>
          <w:szCs w:val="24"/>
        </w:rPr>
        <w:t xml:space="preserve"> $4,500.00</w:t>
      </w:r>
      <w:r w:rsidR="003567C9">
        <w:rPr>
          <w:noProof/>
          <w:sz w:val="24"/>
          <w:szCs w:val="24"/>
        </w:rPr>
        <w:t xml:space="preserve"> from Midwest Motor Sales</w:t>
      </w:r>
      <w:r w:rsidR="0055339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  Rick Graves moved, </w:t>
      </w:r>
      <w:r w:rsidR="0055339A">
        <w:rPr>
          <w:noProof/>
          <w:sz w:val="24"/>
          <w:szCs w:val="24"/>
        </w:rPr>
        <w:t xml:space="preserve">and </w:t>
      </w:r>
      <w:r>
        <w:rPr>
          <w:noProof/>
          <w:sz w:val="24"/>
          <w:szCs w:val="24"/>
        </w:rPr>
        <w:t>Ed Michael seconded</w:t>
      </w:r>
      <w:r w:rsidR="0055339A">
        <w:rPr>
          <w:noProof/>
          <w:sz w:val="24"/>
          <w:szCs w:val="24"/>
        </w:rPr>
        <w:t xml:space="preserve">, to table the matter until the Emergency Medical Service board </w:t>
      </w:r>
      <w:r w:rsidR="003567C9">
        <w:rPr>
          <w:noProof/>
          <w:sz w:val="24"/>
          <w:szCs w:val="24"/>
        </w:rPr>
        <w:t xml:space="preserve">has had the opportunity to review </w:t>
      </w:r>
      <w:r w:rsidR="0055339A">
        <w:rPr>
          <w:noProof/>
          <w:sz w:val="24"/>
          <w:szCs w:val="24"/>
        </w:rPr>
        <w:t>the bid.</w:t>
      </w:r>
      <w:r>
        <w:rPr>
          <w:noProof/>
          <w:sz w:val="24"/>
          <w:szCs w:val="24"/>
        </w:rPr>
        <w:t xml:space="preserve"> Motion passed 3-0.</w:t>
      </w:r>
    </w:p>
    <w:p w14:paraId="73A0D91B" w14:textId="4D90AAA6" w:rsidR="005B5A0E" w:rsidRDefault="005B5A0E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Resolution 2023-14 (Armory Purchase)</w:t>
      </w:r>
    </w:p>
    <w:p w14:paraId="1C43A010" w14:textId="1E01C481" w:rsidR="005B5A0E" w:rsidRDefault="001700AA" w:rsidP="0079378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Prior to the meeting, Marvin Abshire circulated Resolution No. 2023-14, “A Resolution Regarding Transfer of Real Estate”</w:t>
      </w:r>
      <w:r w:rsidR="00B50AD5">
        <w:rPr>
          <w:noProof/>
          <w:sz w:val="24"/>
          <w:szCs w:val="24"/>
        </w:rPr>
        <w:t xml:space="preserve"> </w:t>
      </w:r>
      <w:r w:rsidR="00551AA8">
        <w:rPr>
          <w:noProof/>
          <w:sz w:val="24"/>
          <w:szCs w:val="24"/>
        </w:rPr>
        <w:t>pertaining to</w:t>
      </w:r>
      <w:r w:rsidR="00B50AD5">
        <w:rPr>
          <w:noProof/>
          <w:sz w:val="24"/>
          <w:szCs w:val="24"/>
        </w:rPr>
        <w:t xml:space="preserve"> the purchase of the Linton National Guard Armory building</w:t>
      </w:r>
      <w:r>
        <w:rPr>
          <w:noProof/>
          <w:sz w:val="24"/>
          <w:szCs w:val="24"/>
        </w:rPr>
        <w:t xml:space="preserve">.  Marvin Abshire noted that Indiana Code 36-1-11-8 allows transfer of real estate from one governmental agency to another. The </w:t>
      </w:r>
      <w:r w:rsidR="00B50AD5">
        <w:rPr>
          <w:noProof/>
          <w:sz w:val="24"/>
          <w:szCs w:val="24"/>
        </w:rPr>
        <w:t>resolution is an anticipatory resolution pending approval from the Indiana State Armory Board.</w:t>
      </w:r>
      <w:r w:rsidR="00E729F0">
        <w:rPr>
          <w:noProof/>
          <w:sz w:val="24"/>
          <w:szCs w:val="24"/>
        </w:rPr>
        <w:t xml:space="preserve"> Rick Graves moved, and </w:t>
      </w:r>
      <w:r w:rsidR="005B5A0E">
        <w:rPr>
          <w:noProof/>
          <w:sz w:val="24"/>
          <w:szCs w:val="24"/>
        </w:rPr>
        <w:t xml:space="preserve">Ed Michael </w:t>
      </w:r>
      <w:r w:rsidR="00E729F0">
        <w:rPr>
          <w:noProof/>
          <w:sz w:val="24"/>
          <w:szCs w:val="24"/>
        </w:rPr>
        <w:t>seconded,</w:t>
      </w:r>
      <w:r w:rsidR="005B5A0E">
        <w:rPr>
          <w:noProof/>
          <w:sz w:val="24"/>
          <w:szCs w:val="24"/>
        </w:rPr>
        <w:t xml:space="preserve"> </w:t>
      </w:r>
      <w:r w:rsidR="00E729F0">
        <w:rPr>
          <w:noProof/>
          <w:sz w:val="24"/>
          <w:szCs w:val="24"/>
        </w:rPr>
        <w:t>to approve Resolution 2023-14 and authorize the county attorney to make minor changes if necessary.</w:t>
      </w:r>
      <w:r w:rsidR="005B5A0E">
        <w:rPr>
          <w:noProof/>
          <w:sz w:val="24"/>
          <w:szCs w:val="24"/>
        </w:rPr>
        <w:t xml:space="preserve">  Motion </w:t>
      </w:r>
      <w:r w:rsidR="00A7554B">
        <w:rPr>
          <w:noProof/>
          <w:sz w:val="24"/>
          <w:szCs w:val="24"/>
        </w:rPr>
        <w:t>passed</w:t>
      </w:r>
      <w:r w:rsidR="005B5A0E">
        <w:rPr>
          <w:noProof/>
          <w:sz w:val="24"/>
          <w:szCs w:val="24"/>
        </w:rPr>
        <w:t xml:space="preserve"> 3-0.</w:t>
      </w:r>
    </w:p>
    <w:p w14:paraId="7C6E12F0" w14:textId="47A7BE69" w:rsidR="005B5A0E" w:rsidRDefault="005B5A0E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End of Year Claims</w:t>
      </w:r>
    </w:p>
    <w:p w14:paraId="10565115" w14:textId="7ABE2B15" w:rsidR="005B5A0E" w:rsidRDefault="005B5A0E" w:rsidP="00E729F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Rick Graves moved, </w:t>
      </w:r>
      <w:r w:rsidR="003567C9">
        <w:rPr>
          <w:noProof/>
          <w:sz w:val="24"/>
          <w:szCs w:val="24"/>
        </w:rPr>
        <w:t xml:space="preserve">and </w:t>
      </w:r>
      <w:r>
        <w:rPr>
          <w:noProof/>
          <w:sz w:val="24"/>
          <w:szCs w:val="24"/>
        </w:rPr>
        <w:t>Ed Michael seconded</w:t>
      </w:r>
      <w:r w:rsidR="003567C9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to</w:t>
      </w:r>
      <w:r w:rsidR="003567C9">
        <w:rPr>
          <w:noProof/>
          <w:sz w:val="24"/>
          <w:szCs w:val="24"/>
        </w:rPr>
        <w:t xml:space="preserve"> allow the President of the</w:t>
      </w:r>
      <w:r w:rsidR="00E729F0">
        <w:rPr>
          <w:noProof/>
          <w:sz w:val="24"/>
          <w:szCs w:val="24"/>
        </w:rPr>
        <w:t xml:space="preserve"> Board of </w:t>
      </w:r>
      <w:r w:rsidR="003567C9">
        <w:rPr>
          <w:noProof/>
          <w:sz w:val="24"/>
          <w:szCs w:val="24"/>
        </w:rPr>
        <w:t xml:space="preserve"> Commissioners to </w:t>
      </w:r>
      <w:r>
        <w:rPr>
          <w:noProof/>
          <w:sz w:val="24"/>
          <w:szCs w:val="24"/>
        </w:rPr>
        <w:t xml:space="preserve">approve </w:t>
      </w:r>
      <w:r w:rsidR="003567C9">
        <w:rPr>
          <w:noProof/>
          <w:sz w:val="24"/>
          <w:szCs w:val="24"/>
        </w:rPr>
        <w:t xml:space="preserve">all claims that may </w:t>
      </w:r>
      <w:r w:rsidR="00551AA8">
        <w:rPr>
          <w:noProof/>
          <w:sz w:val="24"/>
          <w:szCs w:val="24"/>
        </w:rPr>
        <w:t>arise</w:t>
      </w:r>
      <w:r w:rsidR="003567C9">
        <w:rPr>
          <w:noProof/>
          <w:sz w:val="24"/>
          <w:szCs w:val="24"/>
        </w:rPr>
        <w:t xml:space="preserve"> before </w:t>
      </w:r>
      <w:r>
        <w:rPr>
          <w:noProof/>
          <w:sz w:val="24"/>
          <w:szCs w:val="24"/>
        </w:rPr>
        <w:t xml:space="preserve">the end of </w:t>
      </w:r>
      <w:r w:rsidR="003567C9">
        <w:rPr>
          <w:noProof/>
          <w:sz w:val="24"/>
          <w:szCs w:val="24"/>
        </w:rPr>
        <w:t xml:space="preserve">the </w:t>
      </w:r>
      <w:r>
        <w:rPr>
          <w:noProof/>
          <w:sz w:val="24"/>
          <w:szCs w:val="24"/>
        </w:rPr>
        <w:t>year.  Motion passed 3-0.</w:t>
      </w:r>
    </w:p>
    <w:p w14:paraId="21BA11C2" w14:textId="3026591E" w:rsidR="005B5A0E" w:rsidRDefault="005B5A0E" w:rsidP="00F134E4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Commissioner Board Appointments</w:t>
      </w:r>
    </w:p>
    <w:p w14:paraId="0609B7D9" w14:textId="20B29167" w:rsidR="005B5A0E" w:rsidRPr="005B5A0E" w:rsidRDefault="005B5A0E" w:rsidP="00793789">
      <w:pPr>
        <w:pStyle w:val="ListParagraph"/>
        <w:numPr>
          <w:ilvl w:val="0"/>
          <w:numId w:val="1"/>
        </w:numPr>
        <w:jc w:val="both"/>
        <w:rPr>
          <w:b/>
          <w:bCs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Ed Michael moved</w:t>
      </w:r>
      <w:r w:rsidR="00AB1F60">
        <w:rPr>
          <w:noProof/>
          <w:sz w:val="24"/>
          <w:szCs w:val="24"/>
        </w:rPr>
        <w:t>, and Rick Graves seconded</w:t>
      </w:r>
      <w:r w:rsidR="00C638BF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to reappoint Jon Vehslage to the Alcohol </w:t>
      </w:r>
      <w:r w:rsidR="00A554E4">
        <w:rPr>
          <w:noProof/>
          <w:sz w:val="24"/>
          <w:szCs w:val="24"/>
        </w:rPr>
        <w:t xml:space="preserve">and Beverage </w:t>
      </w:r>
      <w:r>
        <w:rPr>
          <w:noProof/>
          <w:sz w:val="24"/>
          <w:szCs w:val="24"/>
        </w:rPr>
        <w:t>Board.  Motion passed 3-0.</w:t>
      </w:r>
    </w:p>
    <w:p w14:paraId="747B19CD" w14:textId="7FC6EB64" w:rsidR="005B5A0E" w:rsidRPr="005B5A0E" w:rsidRDefault="005B5A0E" w:rsidP="00793789">
      <w:pPr>
        <w:pStyle w:val="ListParagraph"/>
        <w:numPr>
          <w:ilvl w:val="0"/>
          <w:numId w:val="1"/>
        </w:numPr>
        <w:jc w:val="both"/>
        <w:rPr>
          <w:b/>
          <w:bCs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 xml:space="preserve">Ed </w:t>
      </w:r>
      <w:r w:rsidR="00C638BF">
        <w:rPr>
          <w:noProof/>
          <w:sz w:val="24"/>
          <w:szCs w:val="24"/>
        </w:rPr>
        <w:t>M</w:t>
      </w:r>
      <w:r>
        <w:rPr>
          <w:noProof/>
          <w:sz w:val="24"/>
          <w:szCs w:val="24"/>
        </w:rPr>
        <w:t>ichael moved</w:t>
      </w:r>
      <w:r w:rsidR="00C638BF">
        <w:rPr>
          <w:noProof/>
          <w:sz w:val="24"/>
          <w:szCs w:val="24"/>
        </w:rPr>
        <w:t>, and Rick Graves seconded,</w:t>
      </w:r>
      <w:r>
        <w:rPr>
          <w:noProof/>
          <w:sz w:val="24"/>
          <w:szCs w:val="24"/>
        </w:rPr>
        <w:t xml:space="preserve"> to reappoint Brad Norton to the </w:t>
      </w:r>
      <w:r w:rsidR="00C638BF">
        <w:rPr>
          <w:noProof/>
          <w:sz w:val="24"/>
          <w:szCs w:val="24"/>
        </w:rPr>
        <w:t xml:space="preserve">Emergency Medical Service </w:t>
      </w:r>
      <w:r>
        <w:rPr>
          <w:noProof/>
          <w:sz w:val="24"/>
          <w:szCs w:val="24"/>
        </w:rPr>
        <w:t>Board. Motion passed 3-0.</w:t>
      </w:r>
    </w:p>
    <w:p w14:paraId="3979C853" w14:textId="10F553DB" w:rsidR="005B5A0E" w:rsidRPr="005B5A0E" w:rsidRDefault="005B5A0E" w:rsidP="00793789">
      <w:pPr>
        <w:pStyle w:val="ListParagraph"/>
        <w:numPr>
          <w:ilvl w:val="0"/>
          <w:numId w:val="1"/>
        </w:numPr>
        <w:jc w:val="both"/>
        <w:rPr>
          <w:b/>
          <w:bCs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Rick Graves moved</w:t>
      </w:r>
      <w:r w:rsidR="00C638BF">
        <w:rPr>
          <w:noProof/>
          <w:sz w:val="24"/>
          <w:szCs w:val="24"/>
        </w:rPr>
        <w:t xml:space="preserve">, and Ed Michael seconded, </w:t>
      </w:r>
      <w:r>
        <w:rPr>
          <w:noProof/>
          <w:sz w:val="24"/>
          <w:szCs w:val="24"/>
        </w:rPr>
        <w:t>to reappoint Ga</w:t>
      </w:r>
      <w:r w:rsidR="00C638BF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>ry Heshelman &amp; Otto Prow to the PTBOA Board</w:t>
      </w:r>
      <w:r w:rsidR="00C638BF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Motion passed 3-0.</w:t>
      </w:r>
    </w:p>
    <w:p w14:paraId="79B8D7EA" w14:textId="2E9EB913" w:rsidR="005B5A0E" w:rsidRPr="005B5A0E" w:rsidRDefault="005B5A0E" w:rsidP="00793789">
      <w:pPr>
        <w:pStyle w:val="ListParagraph"/>
        <w:numPr>
          <w:ilvl w:val="0"/>
          <w:numId w:val="1"/>
        </w:numPr>
        <w:jc w:val="both"/>
        <w:rPr>
          <w:b/>
          <w:bCs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w:t>Rick Graves moved</w:t>
      </w:r>
      <w:r w:rsidR="00C638BF">
        <w:rPr>
          <w:noProof/>
          <w:sz w:val="24"/>
          <w:szCs w:val="24"/>
        </w:rPr>
        <w:t>, and Ed Michael seconded,</w:t>
      </w:r>
      <w:r>
        <w:rPr>
          <w:noProof/>
          <w:sz w:val="24"/>
          <w:szCs w:val="24"/>
        </w:rPr>
        <w:t xml:space="preserve"> to reappoint Otto Prow to the Public Defender Board.  Motion passed 3-0.</w:t>
      </w:r>
    </w:p>
    <w:p w14:paraId="090D9FFA" w14:textId="2AF7230F" w:rsidR="005B5A0E" w:rsidRPr="005B5A0E" w:rsidRDefault="005B5A0E" w:rsidP="00793789">
      <w:pPr>
        <w:pStyle w:val="ListParagraph"/>
        <w:numPr>
          <w:ilvl w:val="0"/>
          <w:numId w:val="1"/>
        </w:numPr>
        <w:jc w:val="both"/>
        <w:rPr>
          <w:b/>
          <w:bCs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Ed Michael moved</w:t>
      </w:r>
      <w:r w:rsidR="00BA591B">
        <w:rPr>
          <w:noProof/>
          <w:sz w:val="24"/>
          <w:szCs w:val="24"/>
        </w:rPr>
        <w:t xml:space="preserve">, and Rick Graves seconded, </w:t>
      </w:r>
      <w:r>
        <w:rPr>
          <w:noProof/>
          <w:sz w:val="24"/>
          <w:szCs w:val="24"/>
        </w:rPr>
        <w:t>to appoint Doug Terrell to the Cemet</w:t>
      </w:r>
      <w:r w:rsidR="00BA591B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ry Board, replacing Annette Daniels.  Motion passed 3-0.</w:t>
      </w:r>
    </w:p>
    <w:p w14:paraId="0DB8ECD1" w14:textId="10649E16" w:rsidR="005B5A0E" w:rsidRPr="005B5A0E" w:rsidRDefault="005B5A0E" w:rsidP="00793789">
      <w:pPr>
        <w:pStyle w:val="ListParagraph"/>
        <w:numPr>
          <w:ilvl w:val="0"/>
          <w:numId w:val="1"/>
        </w:numPr>
        <w:jc w:val="both"/>
        <w:rPr>
          <w:b/>
          <w:bCs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Rick Graves moved</w:t>
      </w:r>
      <w:r w:rsidR="00BA591B">
        <w:rPr>
          <w:noProof/>
          <w:sz w:val="24"/>
          <w:szCs w:val="24"/>
        </w:rPr>
        <w:t>, and Ed Michael seconded</w:t>
      </w:r>
      <w:r w:rsidR="00FC619E">
        <w:rPr>
          <w:noProof/>
          <w:sz w:val="24"/>
          <w:szCs w:val="24"/>
        </w:rPr>
        <w:t>,</w:t>
      </w:r>
      <w:r w:rsidR="002B789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to reappoint Mark Bartlow to the WestGate Authority Board.  Motion passed 3-0.</w:t>
      </w:r>
    </w:p>
    <w:p w14:paraId="20ECC515" w14:textId="59E0C000" w:rsidR="005B5A0E" w:rsidRPr="005B5A0E" w:rsidRDefault="005B5A0E" w:rsidP="00793789">
      <w:pPr>
        <w:pStyle w:val="ListParagraph"/>
        <w:numPr>
          <w:ilvl w:val="0"/>
          <w:numId w:val="1"/>
        </w:numPr>
        <w:jc w:val="both"/>
        <w:rPr>
          <w:b/>
          <w:bCs/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Rick Graves moved</w:t>
      </w:r>
      <w:r w:rsidR="00FC619E">
        <w:rPr>
          <w:noProof/>
          <w:sz w:val="24"/>
          <w:szCs w:val="24"/>
        </w:rPr>
        <w:t>, and Ed Michael seconded,</w:t>
      </w:r>
      <w:r>
        <w:rPr>
          <w:noProof/>
          <w:sz w:val="24"/>
          <w:szCs w:val="24"/>
        </w:rPr>
        <w:t xml:space="preserve"> to reappoint Allen Toon, Mike Turner, &amp; Scott Oliphant to the Regional Sewer District Board.  Motion passed 3-0.</w:t>
      </w:r>
    </w:p>
    <w:p w14:paraId="4CF54EE8" w14:textId="2290611B" w:rsidR="005B5A0E" w:rsidRDefault="005B5A0E" w:rsidP="005B5A0E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Re:  Board of Commissioners Reorganization</w:t>
      </w:r>
    </w:p>
    <w:p w14:paraId="69C1ADB0" w14:textId="618C11AE" w:rsidR="005B5A0E" w:rsidRDefault="005B5A0E" w:rsidP="005B5A0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Rick Graves </w:t>
      </w:r>
      <w:r w:rsidR="00FC619E">
        <w:rPr>
          <w:noProof/>
          <w:sz w:val="24"/>
          <w:szCs w:val="24"/>
        </w:rPr>
        <w:t xml:space="preserve">moved, and Ed Michael seconded, to keep the same </w:t>
      </w:r>
      <w:r w:rsidR="005979AD">
        <w:rPr>
          <w:noProof/>
          <w:sz w:val="24"/>
          <w:szCs w:val="24"/>
        </w:rPr>
        <w:t>positions</w:t>
      </w:r>
      <w:r w:rsidR="00FC619E">
        <w:rPr>
          <w:noProof/>
          <w:sz w:val="24"/>
          <w:szCs w:val="24"/>
        </w:rPr>
        <w:t xml:space="preserve"> for </w:t>
      </w:r>
      <w:r w:rsidR="00134F84">
        <w:rPr>
          <w:noProof/>
          <w:sz w:val="24"/>
          <w:szCs w:val="24"/>
        </w:rPr>
        <w:t>2024</w:t>
      </w:r>
      <w:r w:rsidR="005979AD">
        <w:rPr>
          <w:noProof/>
          <w:sz w:val="24"/>
          <w:szCs w:val="24"/>
        </w:rPr>
        <w:t>; Nathan Abrams, President</w:t>
      </w:r>
      <w:r w:rsidR="00D26688">
        <w:rPr>
          <w:noProof/>
          <w:sz w:val="24"/>
          <w:szCs w:val="24"/>
        </w:rPr>
        <w:t xml:space="preserve"> of the Board of Commissioners</w:t>
      </w:r>
      <w:r w:rsidR="005979AD">
        <w:rPr>
          <w:noProof/>
          <w:sz w:val="24"/>
          <w:szCs w:val="24"/>
        </w:rPr>
        <w:t xml:space="preserve"> and Edward L. Michael, Vice President</w:t>
      </w:r>
      <w:r w:rsidR="00D26688">
        <w:rPr>
          <w:noProof/>
          <w:sz w:val="24"/>
          <w:szCs w:val="24"/>
        </w:rPr>
        <w:t xml:space="preserve"> of the Board of Commissioners</w:t>
      </w:r>
      <w:r w:rsidR="005979AD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.  Motion </w:t>
      </w:r>
      <w:r w:rsidR="00134F84">
        <w:rPr>
          <w:noProof/>
          <w:sz w:val="24"/>
          <w:szCs w:val="24"/>
        </w:rPr>
        <w:t>passed</w:t>
      </w:r>
      <w:r>
        <w:rPr>
          <w:noProof/>
          <w:sz w:val="24"/>
          <w:szCs w:val="24"/>
        </w:rPr>
        <w:t xml:space="preserve"> 3-0.</w:t>
      </w:r>
    </w:p>
    <w:p w14:paraId="1C6F7CFD" w14:textId="77777777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There being no further business to come before the board, Ed Michael moved, and Rick Graves seconded, to adjourn.  Motion passed 3-0.</w:t>
      </w:r>
    </w:p>
    <w:p w14:paraId="610925CB" w14:textId="77777777" w:rsidR="005B5A0E" w:rsidRPr="00551AA8" w:rsidRDefault="005B5A0E" w:rsidP="005B5A0E">
      <w:pPr>
        <w:rPr>
          <w:noProof/>
          <w:sz w:val="24"/>
          <w:szCs w:val="24"/>
        </w:rPr>
      </w:pPr>
    </w:p>
    <w:p w14:paraId="3ABBDFD5" w14:textId="77777777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486D1CF" w14:textId="6FE3107C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>_</w:t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</w:p>
    <w:p w14:paraId="532BCD76" w14:textId="63A4CF71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Nathan L. Abrams</w:t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Edward L. Michael</w:t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Rick Graves </w:t>
      </w:r>
    </w:p>
    <w:p w14:paraId="52760AD9" w14:textId="77777777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</w:pPr>
    </w:p>
    <w:p w14:paraId="158AFEA7" w14:textId="77777777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</w:pPr>
    </w:p>
    <w:p w14:paraId="1057FBA7" w14:textId="77777777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1A5DE4E0" w14:textId="77777777" w:rsidR="00551AA8" w:rsidRPr="00793789" w:rsidRDefault="00551AA8" w:rsidP="00551AA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</w:pP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Heather Perry, Auditor</w:t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793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5082897F" w14:textId="77777777" w:rsidR="008C25BA" w:rsidRPr="005B5A0E" w:rsidRDefault="008C25BA" w:rsidP="00551AA8">
      <w:pPr>
        <w:rPr>
          <w:noProof/>
          <w:sz w:val="24"/>
          <w:szCs w:val="24"/>
        </w:rPr>
      </w:pPr>
    </w:p>
    <w:sectPr w:rsidR="008C25BA" w:rsidRPr="005B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D08E7"/>
    <w:multiLevelType w:val="hybridMultilevel"/>
    <w:tmpl w:val="576A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E4"/>
    <w:rsid w:val="000238F0"/>
    <w:rsid w:val="000E699B"/>
    <w:rsid w:val="000F4ECF"/>
    <w:rsid w:val="00134F84"/>
    <w:rsid w:val="001700AA"/>
    <w:rsid w:val="00191357"/>
    <w:rsid w:val="001A2037"/>
    <w:rsid w:val="002B7895"/>
    <w:rsid w:val="003567C9"/>
    <w:rsid w:val="003B3E39"/>
    <w:rsid w:val="00404B3F"/>
    <w:rsid w:val="00430B43"/>
    <w:rsid w:val="00431EE0"/>
    <w:rsid w:val="004362D5"/>
    <w:rsid w:val="00460D20"/>
    <w:rsid w:val="004B77FE"/>
    <w:rsid w:val="004D7B63"/>
    <w:rsid w:val="00551AA8"/>
    <w:rsid w:val="0055339A"/>
    <w:rsid w:val="005979AD"/>
    <w:rsid w:val="005B5A0E"/>
    <w:rsid w:val="006C3D69"/>
    <w:rsid w:val="006E7FAD"/>
    <w:rsid w:val="00734EDB"/>
    <w:rsid w:val="00740AEC"/>
    <w:rsid w:val="0076099C"/>
    <w:rsid w:val="00793789"/>
    <w:rsid w:val="007E3042"/>
    <w:rsid w:val="00850751"/>
    <w:rsid w:val="008C25BA"/>
    <w:rsid w:val="0090048D"/>
    <w:rsid w:val="0096719E"/>
    <w:rsid w:val="00A554E4"/>
    <w:rsid w:val="00A7554B"/>
    <w:rsid w:val="00A80D79"/>
    <w:rsid w:val="00AB1F60"/>
    <w:rsid w:val="00AD5EC3"/>
    <w:rsid w:val="00B50AD5"/>
    <w:rsid w:val="00BA591B"/>
    <w:rsid w:val="00BC2DBD"/>
    <w:rsid w:val="00C638BF"/>
    <w:rsid w:val="00D26688"/>
    <w:rsid w:val="00E729F0"/>
    <w:rsid w:val="00F134E4"/>
    <w:rsid w:val="00F77D7B"/>
    <w:rsid w:val="00FA22E8"/>
    <w:rsid w:val="00FC619E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B9CE"/>
  <w15:chartTrackingRefBased/>
  <w15:docId w15:val="{9E39D94E-5D8E-49EC-B73B-136E6E6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A0E"/>
    <w:pPr>
      <w:ind w:left="720"/>
      <w:contextualSpacing/>
    </w:pPr>
  </w:style>
  <w:style w:type="paragraph" w:styleId="Revision">
    <w:name w:val="Revision"/>
    <w:hidden/>
    <w:uiPriority w:val="99"/>
    <w:semiHidden/>
    <w:rsid w:val="00A8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B0E7-DD55-4C1F-B421-AC5D648A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Cox</dc:creator>
  <cp:keywords/>
  <dc:description/>
  <cp:lastModifiedBy>Sharon Toon</cp:lastModifiedBy>
  <cp:revision>2</cp:revision>
  <cp:lastPrinted>2023-12-28T23:46:00Z</cp:lastPrinted>
  <dcterms:created xsi:type="dcterms:W3CDTF">2024-01-02T14:17:00Z</dcterms:created>
  <dcterms:modified xsi:type="dcterms:W3CDTF">2024-01-02T14:17:00Z</dcterms:modified>
</cp:coreProperties>
</file>